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8E" w:rsidRPr="0052118E" w:rsidRDefault="0052118E" w:rsidP="0052118E">
      <w:pPr>
        <w:pStyle w:val="a8"/>
        <w:rPr>
          <w:rFonts w:ascii="華康魏碑體(P)" w:eastAsia="華康魏碑體(P)"/>
          <w:color w:val="C00000"/>
          <w:sz w:val="36"/>
          <w:lang w:eastAsia="zh-TW"/>
        </w:rPr>
      </w:pPr>
      <w:r w:rsidRPr="0052118E">
        <w:rPr>
          <w:rFonts w:ascii="華康魏碑體(P)" w:eastAsia="華康魏碑體(P)" w:hint="eastAsia"/>
          <w:color w:val="C00000"/>
          <w:sz w:val="36"/>
          <w:lang w:eastAsia="zh-TW"/>
        </w:rPr>
        <w:t>概述</w:t>
      </w:r>
      <w:r w:rsidRPr="0052118E">
        <w:rPr>
          <w:rFonts w:ascii="華康魏碑體(P)" w:eastAsia="華康魏碑體(P)" w:cs="Meiryo" w:hint="eastAsia"/>
          <w:color w:val="C00000"/>
          <w:sz w:val="36"/>
          <w:lang w:eastAsia="zh-TW"/>
        </w:rPr>
        <w:t>車</w:t>
      </w:r>
      <w:r w:rsidRPr="0052118E">
        <w:rPr>
          <w:rFonts w:ascii="華康魏碑體(P)" w:eastAsia="華康魏碑體(P)" w:cs="新細明體" w:hint="eastAsia"/>
          <w:color w:val="C00000"/>
          <w:sz w:val="36"/>
          <w:lang w:eastAsia="zh-TW"/>
        </w:rPr>
        <w:t>削類</w:t>
      </w:r>
      <w:r w:rsidRPr="0052118E">
        <w:rPr>
          <w:rFonts w:ascii="華康魏碑體(P)" w:eastAsia="華康魏碑體(P)" w:cs="Meiryo" w:hint="eastAsia"/>
          <w:color w:val="C00000"/>
          <w:sz w:val="36"/>
          <w:lang w:eastAsia="zh-TW"/>
        </w:rPr>
        <w:t>工</w:t>
      </w:r>
      <w:r w:rsidRPr="0052118E">
        <w:rPr>
          <w:rFonts w:ascii="華康魏碑體(P)" w:eastAsia="華康魏碑體(P)" w:cs="新細明體" w:hint="eastAsia"/>
          <w:color w:val="C00000"/>
          <w:sz w:val="36"/>
          <w:lang w:eastAsia="zh-TW"/>
        </w:rPr>
        <w:t>具機的安全準則—</w:t>
      </w:r>
      <w:r w:rsidRPr="0052118E">
        <w:rPr>
          <w:rFonts w:ascii="華康魏碑體(P)" w:eastAsia="華康魏碑體(P)" w:hint="eastAsia"/>
          <w:color w:val="C00000"/>
          <w:sz w:val="36"/>
          <w:lang w:eastAsia="zh-TW"/>
        </w:rPr>
        <w:t xml:space="preserve"> EN ISO 23125 : 2010</w:t>
      </w:r>
    </w:p>
    <w:p w:rsidR="0052118E" w:rsidRPr="0052118E" w:rsidRDefault="0052118E" w:rsidP="0052118E">
      <w:pPr>
        <w:rPr>
          <w:rFonts w:ascii="華康魏碑體(P)" w:eastAsia="華康魏碑體(P)" w:hAnsiTheme="minorEastAsia"/>
          <w:i/>
          <w:color w:val="C00000"/>
          <w:sz w:val="24"/>
          <w:szCs w:val="32"/>
          <w:lang w:eastAsia="zh-TW"/>
        </w:rPr>
      </w:pPr>
      <w:r w:rsidRPr="0052118E">
        <w:rPr>
          <w:rFonts w:ascii="華康魏碑體(P)" w:eastAsia="華康魏碑體(P)" w:hAnsiTheme="minorEastAsia" w:hint="eastAsia"/>
          <w:color w:val="C00000"/>
          <w:sz w:val="24"/>
          <w:szCs w:val="32"/>
          <w:lang w:eastAsia="zh-TW"/>
        </w:rPr>
        <w:t xml:space="preserve">歐洲標準化委員會(CEN) </w:t>
      </w:r>
      <w:r w:rsidRPr="0052118E">
        <w:rPr>
          <w:rFonts w:ascii="華康魏碑體(P)" w:eastAsia="華康魏碑體(P)" w:hAnsiTheme="minorEastAsia" w:cs="Meiryo" w:hint="eastAsia"/>
          <w:color w:val="C00000"/>
          <w:sz w:val="24"/>
          <w:szCs w:val="32"/>
          <w:lang w:eastAsia="zh-TW"/>
        </w:rPr>
        <w:t>日</w:t>
      </w:r>
      <w:r w:rsidRPr="0052118E">
        <w:rPr>
          <w:rFonts w:ascii="華康魏碑體(P)" w:eastAsia="華康魏碑體(P)" w:hAnsiTheme="minorEastAsia" w:cs="新細明體" w:hint="eastAsia"/>
          <w:color w:val="C00000"/>
          <w:sz w:val="24"/>
          <w:szCs w:val="32"/>
          <w:lang w:eastAsia="zh-TW"/>
        </w:rPr>
        <w:t>前發佈了新版</w:t>
      </w:r>
      <w:r w:rsidRPr="0052118E">
        <w:rPr>
          <w:rFonts w:ascii="華康魏碑體(P)" w:eastAsia="華康魏碑體(P)" w:hAnsiTheme="minorEastAsia" w:cs="Meiryo" w:hint="eastAsia"/>
          <w:color w:val="C00000"/>
          <w:sz w:val="24"/>
          <w:szCs w:val="32"/>
          <w:lang w:eastAsia="zh-TW"/>
        </w:rPr>
        <w:t>車</w:t>
      </w:r>
      <w:r w:rsidRPr="0052118E">
        <w:rPr>
          <w:rFonts w:ascii="華康魏碑體(P)" w:eastAsia="華康魏碑體(P)" w:hAnsiTheme="minorEastAsia" w:cs="新細明體" w:hint="eastAsia"/>
          <w:color w:val="C00000"/>
          <w:sz w:val="24"/>
          <w:szCs w:val="32"/>
          <w:lang w:eastAsia="zh-TW"/>
        </w:rPr>
        <w:t>床類產品的調和標準，</w:t>
      </w:r>
      <w:r w:rsidRPr="0052118E">
        <w:rPr>
          <w:rFonts w:ascii="華康魏碑體(P)" w:eastAsia="華康魏碑體(P)" w:hAnsiTheme="minorEastAsia" w:hint="eastAsia"/>
          <w:color w:val="C00000"/>
          <w:sz w:val="24"/>
          <w:szCs w:val="32"/>
          <w:lang w:eastAsia="zh-TW"/>
        </w:rPr>
        <w:t>EN ISO 23125：2010，該標準是由國際標準組織(ISO) 下的技術委員會起草並與CEN 的技術委員會共同合作完成，</w:t>
      </w:r>
      <w:r w:rsidRPr="0052118E">
        <w:rPr>
          <w:rFonts w:ascii="華康魏碑體(P)" w:eastAsia="華康魏碑體(P)" w:hAnsiTheme="minorEastAsia" w:cs="Meiryo" w:hint="eastAsia"/>
          <w:color w:val="C00000"/>
          <w:sz w:val="24"/>
          <w:szCs w:val="32"/>
          <w:lang w:eastAsia="zh-TW"/>
        </w:rPr>
        <w:t>用</w:t>
      </w:r>
      <w:r w:rsidRPr="0052118E">
        <w:rPr>
          <w:rFonts w:ascii="華康魏碑體(P)" w:eastAsia="華康魏碑體(P)" w:hAnsiTheme="minorEastAsia" w:cs="新細明體" w:hint="eastAsia"/>
          <w:color w:val="C00000"/>
          <w:sz w:val="24"/>
          <w:szCs w:val="32"/>
          <w:lang w:eastAsia="zh-TW"/>
        </w:rPr>
        <w:t>以取代分屬於</w:t>
      </w:r>
      <w:r w:rsidRPr="0052118E">
        <w:rPr>
          <w:rFonts w:ascii="華康魏碑體(P)" w:eastAsia="華康魏碑體(P)" w:hAnsiTheme="minorEastAsia" w:hint="eastAsia"/>
          <w:color w:val="C00000"/>
          <w:sz w:val="24"/>
          <w:szCs w:val="32"/>
          <w:lang w:eastAsia="zh-TW"/>
        </w:rPr>
        <w:t>4 個不同型態的</w:t>
      </w:r>
      <w:r w:rsidRPr="0052118E">
        <w:rPr>
          <w:rFonts w:ascii="華康魏碑體(P)" w:eastAsia="Meiryo" w:hAnsi="標楷體" w:cs="Meiryo" w:hint="eastAsia"/>
          <w:color w:val="C00000"/>
          <w:sz w:val="24"/>
          <w:szCs w:val="32"/>
          <w:lang w:eastAsia="zh-TW"/>
        </w:rPr>
        <w:t>⾞</w:t>
      </w:r>
      <w:r w:rsidRPr="0052118E">
        <w:rPr>
          <w:rFonts w:ascii="華康魏碑體(P)" w:eastAsia="華康魏碑體(P)" w:hAnsiTheme="minorEastAsia" w:cs="新細明體" w:hint="eastAsia"/>
          <w:color w:val="C00000"/>
          <w:sz w:val="24"/>
          <w:szCs w:val="32"/>
          <w:lang w:eastAsia="zh-TW"/>
        </w:rPr>
        <w:t>床標準，</w:t>
      </w:r>
      <w:r w:rsidRPr="0052118E">
        <w:rPr>
          <w:rFonts w:ascii="華康魏碑體(P)" w:eastAsia="華康魏碑體(P)" w:hAnsiTheme="minorEastAsia" w:hint="eastAsia"/>
          <w:color w:val="C00000"/>
          <w:sz w:val="24"/>
          <w:szCs w:val="32"/>
          <w:lang w:eastAsia="zh-TW"/>
        </w:rPr>
        <w:t xml:space="preserve">EN 12415，EN 12478，EN 12480 與EN 13788。 </w:t>
      </w:r>
    </w:p>
    <w:p w:rsidR="0052118E" w:rsidRPr="0052118E" w:rsidRDefault="0052118E" w:rsidP="0052118E">
      <w:pPr>
        <w:pStyle w:val="ae"/>
        <w:rPr>
          <w:rStyle w:val="ad"/>
          <w:lang w:eastAsia="zh-TW"/>
        </w:rPr>
      </w:pPr>
      <w:r w:rsidRPr="0052118E">
        <w:rPr>
          <w:rStyle w:val="ad"/>
          <w:rFonts w:hint="eastAsia"/>
          <w:lang w:eastAsia="zh-TW"/>
        </w:rPr>
        <w:t>該標準也將降低風險的特別要求與方法分為四大類型：</w:t>
      </w:r>
    </w:p>
    <w:p w:rsidR="0052118E" w:rsidRPr="0052118E" w:rsidRDefault="0052118E" w:rsidP="0052118E">
      <w:pPr>
        <w:pStyle w:val="ae"/>
        <w:rPr>
          <w:rStyle w:val="ad"/>
          <w:lang w:eastAsia="zh-TW"/>
        </w:rPr>
      </w:pPr>
      <w:r w:rsidRPr="0052118E">
        <w:rPr>
          <w:rStyle w:val="ad"/>
          <w:rFonts w:hint="eastAsia"/>
          <w:lang w:eastAsia="zh-TW"/>
        </w:rPr>
        <w:t>–</w:t>
      </w:r>
      <w:r w:rsidRPr="0052118E">
        <w:rPr>
          <w:rStyle w:val="ad"/>
          <w:rFonts w:hint="eastAsia"/>
          <w:lang w:eastAsia="zh-TW"/>
        </w:rPr>
        <w:t xml:space="preserve">  </w:t>
      </w:r>
      <w:r w:rsidRPr="0052118E">
        <w:rPr>
          <w:rStyle w:val="ad"/>
          <w:rFonts w:hint="eastAsia"/>
          <w:lang w:eastAsia="zh-TW"/>
        </w:rPr>
        <w:t>第</w:t>
      </w:r>
      <w:r w:rsidRPr="0052118E">
        <w:rPr>
          <w:rStyle w:val="ad"/>
          <w:rFonts w:ascii="Meiryo" w:eastAsia="Meiryo" w:hAnsi="Meiryo" w:cs="Meiryo" w:hint="eastAsia"/>
          <w:lang w:eastAsia="zh-TW"/>
        </w:rPr>
        <w:t>⼀</w:t>
      </w:r>
      <w:r w:rsidRPr="0052118E">
        <w:rPr>
          <w:rStyle w:val="ad"/>
          <w:rFonts w:hint="eastAsia"/>
          <w:lang w:eastAsia="zh-TW"/>
        </w:rPr>
        <w:t>類：</w:t>
      </w:r>
      <w:r w:rsidRPr="0052118E">
        <w:rPr>
          <w:rStyle w:val="ad"/>
          <w:rFonts w:hint="eastAsia"/>
          <w:lang w:eastAsia="zh-TW"/>
        </w:rPr>
        <w:t xml:space="preserve"> </w:t>
      </w:r>
      <w:r w:rsidRPr="0052118E">
        <w:rPr>
          <w:rStyle w:val="ad"/>
          <w:rFonts w:hint="eastAsia"/>
          <w:lang w:eastAsia="zh-TW"/>
        </w:rPr>
        <w:t>無</w:t>
      </w:r>
      <w:r w:rsidRPr="0052118E">
        <w:rPr>
          <w:rStyle w:val="ad"/>
          <w:rFonts w:hint="eastAsia"/>
          <w:lang w:eastAsia="zh-TW"/>
        </w:rPr>
        <w:t xml:space="preserve"> NC </w:t>
      </w:r>
      <w:r w:rsidRPr="0052118E">
        <w:rPr>
          <w:rStyle w:val="ad"/>
          <w:rFonts w:hint="eastAsia"/>
          <w:lang w:eastAsia="zh-TW"/>
        </w:rPr>
        <w:t>控制功能的手動車床</w:t>
      </w:r>
    </w:p>
    <w:p w:rsidR="0052118E" w:rsidRPr="0052118E" w:rsidRDefault="0052118E" w:rsidP="0052118E">
      <w:pPr>
        <w:pStyle w:val="ae"/>
        <w:rPr>
          <w:rStyle w:val="ad"/>
          <w:lang w:eastAsia="zh-TW"/>
        </w:rPr>
      </w:pPr>
      <w:r w:rsidRPr="0052118E">
        <w:rPr>
          <w:rStyle w:val="ad"/>
          <w:rFonts w:hint="eastAsia"/>
          <w:lang w:eastAsia="zh-TW"/>
        </w:rPr>
        <w:t>–</w:t>
      </w:r>
      <w:r w:rsidRPr="0052118E">
        <w:rPr>
          <w:rStyle w:val="ad"/>
          <w:rFonts w:hint="eastAsia"/>
          <w:lang w:eastAsia="zh-TW"/>
        </w:rPr>
        <w:t xml:space="preserve">  </w:t>
      </w:r>
      <w:r w:rsidRPr="0052118E">
        <w:rPr>
          <w:rStyle w:val="ad"/>
          <w:rFonts w:hint="eastAsia"/>
          <w:lang w:eastAsia="zh-TW"/>
        </w:rPr>
        <w:t>第</w:t>
      </w:r>
      <w:r w:rsidRPr="0052118E">
        <w:rPr>
          <w:rStyle w:val="ad"/>
          <w:rFonts w:ascii="Meiryo" w:eastAsia="Meiryo" w:hAnsi="Meiryo" w:cs="Meiryo" w:hint="eastAsia"/>
          <w:lang w:eastAsia="zh-TW"/>
        </w:rPr>
        <w:t>⼆</w:t>
      </w:r>
      <w:r w:rsidRPr="0052118E">
        <w:rPr>
          <w:rStyle w:val="ad"/>
          <w:rFonts w:hint="eastAsia"/>
          <w:lang w:eastAsia="zh-TW"/>
        </w:rPr>
        <w:t>類：</w:t>
      </w:r>
      <w:r w:rsidRPr="0052118E">
        <w:rPr>
          <w:rStyle w:val="ad"/>
          <w:rFonts w:hint="eastAsia"/>
          <w:lang w:eastAsia="zh-TW"/>
        </w:rPr>
        <w:t xml:space="preserve"> </w:t>
      </w:r>
      <w:r w:rsidRPr="0052118E">
        <w:rPr>
          <w:rStyle w:val="ad"/>
          <w:rFonts w:hint="eastAsia"/>
          <w:lang w:eastAsia="zh-TW"/>
        </w:rPr>
        <w:t>具部份</w:t>
      </w:r>
      <w:r w:rsidRPr="0052118E">
        <w:rPr>
          <w:rStyle w:val="ad"/>
          <w:rFonts w:hint="eastAsia"/>
          <w:lang w:eastAsia="zh-TW"/>
        </w:rPr>
        <w:t xml:space="preserve"> NC </w:t>
      </w:r>
      <w:r w:rsidRPr="0052118E">
        <w:rPr>
          <w:rStyle w:val="ad"/>
          <w:rFonts w:hint="eastAsia"/>
          <w:lang w:eastAsia="zh-TW"/>
        </w:rPr>
        <w:t>控制功能的手動車床</w:t>
      </w:r>
    </w:p>
    <w:p w:rsidR="0052118E" w:rsidRDefault="0052118E" w:rsidP="0052118E">
      <w:pPr>
        <w:pStyle w:val="ae"/>
        <w:rPr>
          <w:rStyle w:val="ad"/>
          <w:rFonts w:hint="eastAsia"/>
          <w:lang w:eastAsia="zh-TW"/>
        </w:rPr>
      </w:pPr>
      <w:r w:rsidRPr="0052118E">
        <w:rPr>
          <w:rStyle w:val="ad"/>
          <w:rFonts w:hint="eastAsia"/>
          <w:lang w:eastAsia="zh-TW"/>
        </w:rPr>
        <w:t>–</w:t>
      </w:r>
      <w:r w:rsidRPr="0052118E">
        <w:rPr>
          <w:rStyle w:val="ad"/>
          <w:rFonts w:hint="eastAsia"/>
          <w:lang w:eastAsia="zh-TW"/>
        </w:rPr>
        <w:t xml:space="preserve">  </w:t>
      </w:r>
      <w:r w:rsidRPr="0052118E">
        <w:rPr>
          <w:rStyle w:val="ad"/>
          <w:rFonts w:hint="eastAsia"/>
          <w:lang w:eastAsia="zh-TW"/>
        </w:rPr>
        <w:t>第三類：</w:t>
      </w:r>
      <w:r w:rsidRPr="0052118E">
        <w:rPr>
          <w:rStyle w:val="ad"/>
          <w:rFonts w:hint="eastAsia"/>
          <w:lang w:eastAsia="zh-TW"/>
        </w:rPr>
        <w:t xml:space="preserve"> </w:t>
      </w:r>
      <w:r w:rsidRPr="0052118E">
        <w:rPr>
          <w:rStyle w:val="ad"/>
          <w:rFonts w:hint="eastAsia"/>
          <w:lang w:eastAsia="zh-TW"/>
        </w:rPr>
        <w:t>具</w:t>
      </w:r>
      <w:r w:rsidRPr="0052118E">
        <w:rPr>
          <w:rStyle w:val="ad"/>
          <w:rFonts w:hint="eastAsia"/>
          <w:lang w:eastAsia="zh-TW"/>
        </w:rPr>
        <w:t xml:space="preserve"> NC </w:t>
      </w:r>
      <w:r w:rsidRPr="0052118E">
        <w:rPr>
          <w:rStyle w:val="ad"/>
          <w:rFonts w:hint="eastAsia"/>
          <w:lang w:eastAsia="zh-TW"/>
        </w:rPr>
        <w:t>控制功能的車床與車削中心機</w:t>
      </w:r>
    </w:p>
    <w:p w:rsidR="0052118E" w:rsidRPr="0052118E" w:rsidRDefault="0052118E" w:rsidP="0052118E">
      <w:pPr>
        <w:pStyle w:val="ae"/>
        <w:rPr>
          <w:rStyle w:val="ad"/>
          <w:lang w:eastAsia="zh-TW"/>
        </w:rPr>
      </w:pPr>
    </w:p>
    <w:p w:rsidR="0052118E" w:rsidRDefault="0052118E" w:rsidP="0052118E">
      <w:pPr>
        <w:pStyle w:val="ae"/>
        <w:rPr>
          <w:rStyle w:val="ad"/>
          <w:rFonts w:hint="eastAsia"/>
          <w:lang w:eastAsia="zh-TW"/>
        </w:rPr>
      </w:pPr>
      <w:r w:rsidRPr="0052118E">
        <w:rPr>
          <w:rStyle w:val="ad"/>
          <w:rFonts w:hint="eastAsia"/>
          <w:lang w:eastAsia="zh-TW"/>
        </w:rPr>
        <w:t>–</w:t>
      </w:r>
      <w:r w:rsidRPr="0052118E">
        <w:rPr>
          <w:rStyle w:val="ad"/>
          <w:rFonts w:hint="eastAsia"/>
          <w:lang w:eastAsia="zh-TW"/>
        </w:rPr>
        <w:t xml:space="preserve">  </w:t>
      </w:r>
      <w:r w:rsidRPr="0052118E">
        <w:rPr>
          <w:rStyle w:val="ad"/>
          <w:rFonts w:hint="eastAsia"/>
          <w:lang w:eastAsia="zh-TW"/>
        </w:rPr>
        <w:t>第四類：</w:t>
      </w:r>
      <w:r w:rsidRPr="0052118E">
        <w:rPr>
          <w:rStyle w:val="ad"/>
          <w:rFonts w:hint="eastAsia"/>
          <w:lang w:eastAsia="zh-TW"/>
        </w:rPr>
        <w:t xml:space="preserve"> </w:t>
      </w:r>
      <w:r w:rsidRPr="0052118E">
        <w:rPr>
          <w:rStyle w:val="ad"/>
          <w:rFonts w:hint="eastAsia"/>
          <w:lang w:eastAsia="zh-TW"/>
        </w:rPr>
        <w:t>單或多主軸的自動車床</w:t>
      </w:r>
    </w:p>
    <w:p w:rsidR="0052118E" w:rsidRPr="0052118E" w:rsidRDefault="0052118E" w:rsidP="0052118E">
      <w:pPr>
        <w:pStyle w:val="ae"/>
        <w:rPr>
          <w:rStyle w:val="ad"/>
          <w:lang w:eastAsia="zh-TW"/>
        </w:rPr>
      </w:pPr>
    </w:p>
    <w:p w:rsidR="0052118E" w:rsidRPr="00B8250C" w:rsidRDefault="0052118E" w:rsidP="00B8250C">
      <w:pPr>
        <w:rPr>
          <w:rFonts w:hint="eastAsia"/>
          <w:szCs w:val="24"/>
          <w:lang w:eastAsia="zh-TW"/>
        </w:rPr>
      </w:pPr>
      <w:r w:rsidRPr="0052118E">
        <w:rPr>
          <w:szCs w:val="24"/>
          <w:lang w:eastAsia="zh-TW"/>
        </w:rPr>
        <w:drawing>
          <wp:inline distT="0" distB="0" distL="0" distR="0">
            <wp:extent cx="5274310" cy="3009662"/>
            <wp:effectExtent l="19050" t="0" r="254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09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118E" w:rsidRPr="00B8250C" w:rsidSect="000B67AA">
      <w:headerReference w:type="default" r:id="rId9"/>
      <w:footerReference w:type="default" r:id="rId10"/>
      <w:pgSz w:w="11906" w:h="16838" w:code="9"/>
      <w:pgMar w:top="1588" w:right="1077" w:bottom="907" w:left="1077" w:header="454" w:footer="11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D7A" w:rsidRDefault="00CA0D7A" w:rsidP="00730B0A">
      <w:pPr>
        <w:spacing w:after="0" w:line="240" w:lineRule="auto"/>
      </w:pPr>
      <w:r>
        <w:separator/>
      </w:r>
    </w:p>
  </w:endnote>
  <w:endnote w:type="continuationSeparator" w:id="1">
    <w:p w:rsidR="00CA0D7A" w:rsidRDefault="00CA0D7A" w:rsidP="0073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魏碑體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B6" w:rsidRDefault="00451DB2" w:rsidP="00EA6D04">
    <w:pPr>
      <w:pStyle w:val="a5"/>
      <w:rPr>
        <w:lang w:eastAsia="zh-TW"/>
      </w:rPr>
    </w:pPr>
    <w:r w:rsidRPr="00451DB2">
      <w:rPr>
        <w:rFonts w:asciiTheme="majorHAnsi" w:hAnsiTheme="majorHAnsi" w:cstheme="majorHAnsi"/>
        <w:lang w:eastAsia="zh-TW"/>
      </w:rPr>
      <w:ptab w:relativeTo="margin" w:alignment="right" w:leader="none"/>
    </w:r>
    <w:r w:rsidRPr="00451DB2">
      <w:rPr>
        <w:rFonts w:asciiTheme="majorHAnsi" w:hAnsiTheme="majorHAnsi" w:cstheme="majorHAnsi"/>
        <w:lang w:val="zh-TW" w:eastAsia="zh-TW"/>
      </w:rPr>
      <w:t>頁</w:t>
    </w:r>
    <w:r w:rsidRPr="00451DB2">
      <w:rPr>
        <w:rFonts w:asciiTheme="majorHAnsi" w:hAnsiTheme="majorHAnsi" w:cstheme="majorHAnsi"/>
        <w:lang w:val="zh-TW" w:eastAsia="zh-TW"/>
      </w:rPr>
      <w:t xml:space="preserve"> </w:t>
    </w:r>
    <w:r w:rsidR="00000638">
      <w:rPr>
        <w:lang w:eastAsia="zh-TW"/>
      </w:rPr>
      <w:fldChar w:fldCharType="begin"/>
    </w:r>
    <w:r>
      <w:rPr>
        <w:lang w:eastAsia="zh-TW"/>
      </w:rPr>
      <w:instrText xml:space="preserve"> PAGE   \* MERGEFORMAT </w:instrText>
    </w:r>
    <w:r w:rsidR="00000638">
      <w:rPr>
        <w:lang w:eastAsia="zh-TW"/>
      </w:rPr>
      <w:fldChar w:fldCharType="separate"/>
    </w:r>
    <w:r w:rsidR="0052118E" w:rsidRPr="0052118E">
      <w:rPr>
        <w:rFonts w:asciiTheme="majorHAnsi" w:hAnsiTheme="majorHAnsi" w:cstheme="majorHAnsi"/>
        <w:noProof/>
        <w:lang w:val="zh-TW" w:eastAsia="zh-TW"/>
      </w:rPr>
      <w:t>1</w:t>
    </w:r>
    <w:r w:rsidR="00000638">
      <w:rPr>
        <w:lang w:eastAsia="zh-TW"/>
      </w:rPr>
      <w:fldChar w:fldCharType="end"/>
    </w:r>
    <w:r w:rsidR="00000638">
      <w:rPr>
        <w:noProof/>
        <w:lang w:eastAsia="zh-TW"/>
      </w:rPr>
      <w:pict>
        <v:group id="_x0000_s1038" style="position:absolute;margin-left:0;margin-top:0;width:611.15pt;height:64.75pt;flip:y;z-index:251668480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568278 [2408]"/>
          <v:rect id="_x0000_s1040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000638">
      <w:rPr>
        <w:noProof/>
        <w:lang w:eastAsia="zh-TW"/>
      </w:rPr>
      <w:pict>
        <v:rect id="_x0000_s1037" style="position:absolute;margin-left:0;margin-top:0;width:7.15pt;height:63.95pt;z-index:251667456;mso-height-percent:900;mso-position-horizontal:center;mso-position-horizontal-relative:left-margin-area;mso-position-vertical:bottom;mso-position-vertical-relative:page;mso-height-percent:900;mso-height-relative:bottom-margin-area" fillcolor="#7ba79d [3208]" strokecolor="#39564f [1608]">
          <w10:wrap anchorx="margin" anchory="page"/>
        </v:rect>
      </w:pict>
    </w:r>
    <w:r w:rsidR="00000638">
      <w:rPr>
        <w:noProof/>
        <w:lang w:eastAsia="zh-TW"/>
      </w:rPr>
      <w:pict>
        <v:rect id="_x0000_s1036" style="position:absolute;margin-left:0;margin-top:0;width:7.15pt;height:63.95pt;z-index:251666432;mso-height-percent:900;mso-position-horizontal:center;mso-position-horizontal-relative:right-margin-area;mso-position-vertical:bottom;mso-position-vertical-relative:page;mso-height-percent:900;mso-height-relative:bottom-margin-area" fillcolor="#7ba79d [3208]" strokecolor="#39564f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D7A" w:rsidRDefault="00CA0D7A" w:rsidP="00730B0A">
      <w:pPr>
        <w:spacing w:after="0" w:line="240" w:lineRule="auto"/>
      </w:pPr>
      <w:r>
        <w:separator/>
      </w:r>
    </w:p>
  </w:footnote>
  <w:footnote w:type="continuationSeparator" w:id="1">
    <w:p w:rsidR="00CA0D7A" w:rsidRDefault="00CA0D7A" w:rsidP="0073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728" w:rsidRPr="00FB1728" w:rsidRDefault="00000638" w:rsidP="000B67AA">
    <w:pPr>
      <w:pStyle w:val="ae"/>
      <w:ind w:firstLineChars="300" w:firstLine="600"/>
      <w:rPr>
        <w:rFonts w:ascii="標楷體" w:eastAsia="標楷體" w:hAnsi="標楷體"/>
        <w:sz w:val="28"/>
        <w:szCs w:val="28"/>
        <w:lang w:eastAsia="zh-TW"/>
      </w:rPr>
    </w:pPr>
    <w:r w:rsidRPr="00000638">
      <w:rPr>
        <w:rFonts w:ascii="Book Antiqua" w:eastAsia="標楷體" w:hAnsi="Book Antiqua" w:cstheme="majorBidi"/>
        <w:sz w:val="20"/>
        <w:szCs w:val="20"/>
      </w:rPr>
      <w:pict>
        <v:group id="_x0000_s1033" style="position:absolute;left:0;text-align:left;margin-left:0;margin-top:0;width:594.45pt;height:74.75pt;z-index:251664384;mso-width-percent:1000;mso-position-horizontal:center;mso-position-horizontal-relative:page;mso-position-vertical:top;mso-position-vertical-relative:page;mso-width-percent:10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568278 [2408]"/>
          <v:rect id="_x0000_s1035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D07BAF">
      <w:rPr>
        <w:rFonts w:ascii="標楷體" w:eastAsia="標楷體" w:hAnsi="標楷體" w:hint="eastAsia"/>
        <w:noProof/>
        <w:sz w:val="28"/>
        <w:szCs w:val="28"/>
        <w:lang w:eastAsia="zh-TW" w:bidi="ar-SA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-167005</wp:posOffset>
          </wp:positionV>
          <wp:extent cx="687070" cy="636270"/>
          <wp:effectExtent l="19050" t="0" r="0" b="0"/>
          <wp:wrapTight wrapText="bothSides">
            <wp:wrapPolygon edited="0">
              <wp:start x="-599" y="0"/>
              <wp:lineTo x="-599" y="20695"/>
              <wp:lineTo x="21560" y="20695"/>
              <wp:lineTo x="21560" y="0"/>
              <wp:lineTo x="-599" y="0"/>
            </wp:wrapPolygon>
          </wp:wrapTight>
          <wp:docPr id="8" name="圖片 3" descr="KJ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J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070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3B48">
      <w:rPr>
        <w:rFonts w:ascii="標楷體" w:eastAsia="標楷體" w:hAnsi="標楷體" w:hint="eastAsia"/>
        <w:sz w:val="28"/>
        <w:szCs w:val="28"/>
        <w:lang w:eastAsia="zh-TW"/>
      </w:rPr>
      <w:t xml:space="preserve"> </w:t>
    </w:r>
    <w:r w:rsidR="000B67AA">
      <w:rPr>
        <w:rFonts w:ascii="標楷體" w:eastAsia="標楷體" w:hAnsi="標楷體" w:hint="eastAsia"/>
        <w:sz w:val="28"/>
        <w:szCs w:val="28"/>
        <w:lang w:eastAsia="zh-TW"/>
      </w:rPr>
      <w:t xml:space="preserve">  </w:t>
    </w:r>
    <w:r w:rsidR="00FB1728" w:rsidRPr="00FB1728">
      <w:rPr>
        <w:rFonts w:ascii="標楷體" w:eastAsia="標楷體" w:hAnsi="標楷體" w:hint="eastAsia"/>
        <w:sz w:val="28"/>
        <w:szCs w:val="28"/>
        <w:lang w:eastAsia="zh-TW"/>
      </w:rPr>
      <w:t xml:space="preserve">坤展國際安全驗證有限公司 </w:t>
    </w:r>
  </w:p>
  <w:p w:rsidR="00FB1728" w:rsidRPr="00FB1728" w:rsidRDefault="00FB1728" w:rsidP="00FB1728">
    <w:pPr>
      <w:pStyle w:val="ae"/>
      <w:rPr>
        <w:rFonts w:ascii="Book Antiqua" w:eastAsia="標楷體" w:hAnsi="Book Antiqua"/>
        <w:sz w:val="20"/>
        <w:szCs w:val="20"/>
        <w:lang w:eastAsia="zh-TW"/>
      </w:rPr>
    </w:pPr>
    <w:r w:rsidRPr="00FB1728">
      <w:rPr>
        <w:rFonts w:ascii="Book Antiqua" w:hAnsi="Book Antiqua"/>
        <w:sz w:val="28"/>
        <w:szCs w:val="28"/>
        <w:lang w:eastAsia="zh-TW"/>
      </w:rPr>
      <w:t xml:space="preserve"> </w:t>
    </w:r>
    <w:r w:rsidR="00D07BAF">
      <w:rPr>
        <w:rFonts w:ascii="Book Antiqua" w:hAnsi="Book Antiqua" w:hint="eastAsia"/>
        <w:sz w:val="28"/>
        <w:szCs w:val="28"/>
        <w:lang w:eastAsia="zh-TW"/>
      </w:rPr>
      <w:t xml:space="preserve">     </w:t>
    </w:r>
    <w:r w:rsidR="006B3B48">
      <w:rPr>
        <w:rFonts w:ascii="Book Antiqua" w:hAnsi="Book Antiqua" w:hint="eastAsia"/>
        <w:sz w:val="28"/>
        <w:szCs w:val="28"/>
        <w:lang w:eastAsia="zh-TW"/>
      </w:rPr>
      <w:t xml:space="preserve"> </w:t>
    </w:r>
    <w:r w:rsidR="000B67AA">
      <w:rPr>
        <w:rFonts w:ascii="Book Antiqua" w:hAnsi="Book Antiqua" w:hint="eastAsia"/>
        <w:sz w:val="28"/>
        <w:szCs w:val="28"/>
        <w:lang w:eastAsia="zh-TW"/>
      </w:rPr>
      <w:t xml:space="preserve"> </w:t>
    </w:r>
    <w:r w:rsidRPr="00FB1728">
      <w:rPr>
        <w:rFonts w:ascii="Book Antiqua" w:hAnsi="Book Antiqua"/>
        <w:sz w:val="28"/>
        <w:szCs w:val="28"/>
        <w:lang w:eastAsia="zh-TW"/>
      </w:rPr>
      <w:t>K. J. Certification Co. Ltd.</w:t>
    </w:r>
    <w:r w:rsidRPr="00FB1728">
      <w:rPr>
        <w:rFonts w:ascii="Book Antiqua" w:hAnsi="Book Antiqua"/>
        <w:sz w:val="32"/>
        <w:szCs w:val="32"/>
        <w:lang w:eastAsia="zh-TW"/>
      </w:rPr>
      <w:t xml:space="preserve"> </w:t>
    </w:r>
    <w:r w:rsidRPr="00FB1728">
      <w:rPr>
        <w:rFonts w:ascii="Book Antiqua" w:hAnsi="Book Antiqua"/>
        <w:lang w:eastAsia="zh-TW"/>
      </w:rPr>
      <w:t xml:space="preserve"> </w:t>
    </w:r>
    <w:r w:rsidR="00D07BAF">
      <w:rPr>
        <w:rFonts w:hint="eastAsia"/>
        <w:lang w:eastAsia="zh-TW"/>
      </w:rPr>
      <w:t xml:space="preserve">                </w:t>
    </w:r>
    <w:r w:rsidRPr="00FB1728">
      <w:rPr>
        <w:rFonts w:ascii="Book Antiqua" w:eastAsia="標楷體" w:hAnsi="標楷體" w:hint="eastAsia"/>
        <w:sz w:val="20"/>
        <w:szCs w:val="20"/>
        <w:lang w:eastAsia="zh-TW"/>
      </w:rPr>
      <w:t>432</w:t>
    </w:r>
    <w:r w:rsidRPr="00FB1728">
      <w:rPr>
        <w:rFonts w:ascii="Book Antiqua" w:eastAsia="標楷體" w:hAnsi="標楷體"/>
        <w:sz w:val="20"/>
        <w:szCs w:val="20"/>
        <w:lang w:eastAsia="zh-TW"/>
      </w:rPr>
      <w:t>台中市大肚區遊園路二段</w:t>
    </w:r>
    <w:r w:rsidRPr="00FB1728">
      <w:rPr>
        <w:rFonts w:ascii="Book Antiqua" w:eastAsia="標楷體" w:hAnsi="Book Antiqua"/>
        <w:sz w:val="20"/>
        <w:szCs w:val="20"/>
        <w:lang w:eastAsia="zh-TW"/>
      </w:rPr>
      <w:t>43</w:t>
    </w:r>
    <w:r w:rsidRPr="00FB1728">
      <w:rPr>
        <w:rFonts w:ascii="Book Antiqua" w:eastAsia="標楷體" w:hAnsi="標楷體"/>
        <w:sz w:val="20"/>
        <w:szCs w:val="20"/>
        <w:lang w:eastAsia="zh-TW"/>
      </w:rPr>
      <w:t>號</w:t>
    </w:r>
    <w:r w:rsidRPr="00FB1728">
      <w:rPr>
        <w:rFonts w:ascii="Book Antiqua" w:eastAsia="標楷體" w:hAnsi="Book Antiqua"/>
        <w:sz w:val="20"/>
        <w:szCs w:val="20"/>
        <w:lang w:eastAsia="zh-TW"/>
      </w:rPr>
      <w:t>1</w:t>
    </w:r>
    <w:r w:rsidRPr="00FB1728">
      <w:rPr>
        <w:rFonts w:ascii="Book Antiqua" w:eastAsia="標楷體" w:hAnsi="標楷體"/>
        <w:sz w:val="20"/>
        <w:szCs w:val="20"/>
        <w:lang w:eastAsia="zh-TW"/>
      </w:rPr>
      <w:t>樓</w:t>
    </w:r>
  </w:p>
  <w:p w:rsidR="00623BB6" w:rsidRPr="00FB1728" w:rsidRDefault="00FB1728" w:rsidP="00330B38">
    <w:pPr>
      <w:pStyle w:val="ae"/>
      <w:jc w:val="center"/>
      <w:rPr>
        <w:rFonts w:ascii="Book Antiqua" w:eastAsia="標楷體" w:hAnsi="Book Antiqua" w:cstheme="majorBidi"/>
        <w:sz w:val="20"/>
        <w:szCs w:val="20"/>
        <w:lang w:eastAsia="zh-TW"/>
      </w:rPr>
    </w:pPr>
    <w:r w:rsidRPr="00FB1728">
      <w:rPr>
        <w:rFonts w:ascii="Book Antiqua" w:eastAsia="標楷體" w:hAnsi="Book Antiqua"/>
        <w:sz w:val="20"/>
        <w:szCs w:val="20"/>
        <w:lang w:eastAsia="zh-TW"/>
      </w:rPr>
      <w:t xml:space="preserve">                                                     </w:t>
    </w:r>
    <w:r>
      <w:rPr>
        <w:rFonts w:ascii="Book Antiqua" w:eastAsia="標楷體" w:hAnsi="Book Antiqua" w:hint="eastAsia"/>
        <w:sz w:val="20"/>
        <w:szCs w:val="20"/>
        <w:lang w:eastAsia="zh-TW"/>
      </w:rPr>
      <w:t xml:space="preserve">    </w:t>
    </w:r>
    <w:r w:rsidRPr="00FB1728">
      <w:rPr>
        <w:rFonts w:ascii="Book Antiqua" w:eastAsia="標楷體" w:hAnsi="Book Antiqua"/>
        <w:sz w:val="20"/>
        <w:szCs w:val="20"/>
        <w:lang w:eastAsia="zh-TW"/>
      </w:rPr>
      <w:t xml:space="preserve">Tel : +886-4-26910213 </w:t>
    </w:r>
    <w:r>
      <w:rPr>
        <w:rFonts w:ascii="Book Antiqua" w:eastAsia="標楷體" w:hAnsi="Book Antiqua" w:hint="eastAsia"/>
        <w:sz w:val="20"/>
        <w:szCs w:val="20"/>
        <w:lang w:eastAsia="zh-TW"/>
      </w:rPr>
      <w:t xml:space="preserve"> </w:t>
    </w:r>
    <w:r w:rsidRPr="00FB1728">
      <w:rPr>
        <w:rFonts w:ascii="Book Antiqua" w:eastAsia="標楷體" w:hAnsi="Book Antiqua"/>
        <w:sz w:val="20"/>
        <w:szCs w:val="20"/>
        <w:lang w:eastAsia="zh-TW"/>
      </w:rPr>
      <w:t>Fax :+886-4-26917117</w:t>
    </w:r>
    <w:r w:rsidR="00000638">
      <w:rPr>
        <w:rFonts w:ascii="Book Antiqua" w:eastAsia="標楷體" w:hAnsi="Book Antiqua" w:cstheme="majorBidi"/>
        <w:sz w:val="20"/>
        <w:szCs w:val="20"/>
      </w:rPr>
      <w:pict>
        <v:rect id="_x0000_s1032" style="position:absolute;left:0;text-align:left;margin-left:0;margin-top:0;width:7.15pt;height:64pt;z-index:251663360;mso-height-percent:900;mso-position-horizontal:center;mso-position-horizontal-relative:right-margin-area;mso-position-vertical:top;mso-position-vertical-relative:page;mso-height-percent:900;mso-height-relative:top-margin-area" fillcolor="#7ba79d [3208]" strokecolor="#39564f [1608]">
          <w10:wrap anchorx="page" anchory="page"/>
        </v:rect>
      </w:pict>
    </w:r>
    <w:r w:rsidR="00000638">
      <w:rPr>
        <w:rFonts w:ascii="Book Antiqua" w:eastAsia="標楷體" w:hAnsi="Book Antiqua" w:cstheme="majorBidi"/>
        <w:sz w:val="20"/>
        <w:szCs w:val="20"/>
      </w:rPr>
      <w:pict>
        <v:rect id="_x0000_s1031" style="position:absolute;left:0;text-align:left;margin-left:0;margin-top:0;width:7.15pt;height:64pt;z-index:251662336;mso-height-percent:900;mso-position-horizontal:center;mso-position-horizontal-relative:left-margin-area;mso-position-vertical:top;mso-position-vertical-relative:page;mso-height-percent:900;mso-height-relative:top-margin-area" fillcolor="#7ba79d [3208]" strokecolor="#39564f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144"/>
    <w:multiLevelType w:val="hybridMultilevel"/>
    <w:tmpl w:val="FEE8ABE8"/>
    <w:lvl w:ilvl="0" w:tplc="B430020E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ascii="Arial Unicode MS" w:hAnsi="Arial Unicode MS" w:hint="eastAsia"/>
        <w:b w:val="0"/>
        <w:i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816DD3"/>
    <w:multiLevelType w:val="hybridMultilevel"/>
    <w:tmpl w:val="5F4ECBA8"/>
    <w:lvl w:ilvl="0" w:tplc="A6DCB70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AAA1F6E"/>
    <w:multiLevelType w:val="hybridMultilevel"/>
    <w:tmpl w:val="6958E36C"/>
    <w:lvl w:ilvl="0" w:tplc="F0081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D00B20"/>
    <w:multiLevelType w:val="hybridMultilevel"/>
    <w:tmpl w:val="19BC946E"/>
    <w:lvl w:ilvl="0" w:tplc="9C1E9EA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140DCB"/>
    <w:multiLevelType w:val="hybridMultilevel"/>
    <w:tmpl w:val="BB44CA7C"/>
    <w:lvl w:ilvl="0" w:tplc="DC5E9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F8141B4"/>
    <w:multiLevelType w:val="hybridMultilevel"/>
    <w:tmpl w:val="C7C447E0"/>
    <w:lvl w:ilvl="0" w:tplc="3162E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1707853"/>
    <w:multiLevelType w:val="hybridMultilevel"/>
    <w:tmpl w:val="32C66590"/>
    <w:lvl w:ilvl="0" w:tplc="D63694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3291372"/>
    <w:multiLevelType w:val="hybridMultilevel"/>
    <w:tmpl w:val="C0DC5126"/>
    <w:lvl w:ilvl="0" w:tplc="04090001">
      <w:start w:val="1"/>
      <w:numFmt w:val="bullet"/>
      <w:lvlText w:val="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8">
    <w:nsid w:val="275773A8"/>
    <w:multiLevelType w:val="hybridMultilevel"/>
    <w:tmpl w:val="C910ED8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9C05EB5"/>
    <w:multiLevelType w:val="hybridMultilevel"/>
    <w:tmpl w:val="D6D2DBF8"/>
    <w:lvl w:ilvl="0" w:tplc="3496ECA0">
      <w:start w:val="1"/>
      <w:numFmt w:val="bullet"/>
      <w:lvlText w:val="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3C00789"/>
    <w:multiLevelType w:val="hybridMultilevel"/>
    <w:tmpl w:val="20222014"/>
    <w:lvl w:ilvl="0" w:tplc="EC947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6790A16"/>
    <w:multiLevelType w:val="hybridMultilevel"/>
    <w:tmpl w:val="F590177A"/>
    <w:lvl w:ilvl="0" w:tplc="C5BA2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9D8612D"/>
    <w:multiLevelType w:val="hybridMultilevel"/>
    <w:tmpl w:val="55340828"/>
    <w:lvl w:ilvl="0" w:tplc="04090017">
      <w:start w:val="6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C874596"/>
    <w:multiLevelType w:val="hybridMultilevel"/>
    <w:tmpl w:val="AD02D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FD215EA"/>
    <w:multiLevelType w:val="hybridMultilevel"/>
    <w:tmpl w:val="8B9423A0"/>
    <w:lvl w:ilvl="0" w:tplc="D3E0B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1B21115"/>
    <w:multiLevelType w:val="hybridMultilevel"/>
    <w:tmpl w:val="F7EA57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B913F33"/>
    <w:multiLevelType w:val="multilevel"/>
    <w:tmpl w:val="78CE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C842B1"/>
    <w:multiLevelType w:val="hybridMultilevel"/>
    <w:tmpl w:val="A1F8504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64AF5F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>
    <w:nsid w:val="691D5B7B"/>
    <w:multiLevelType w:val="hybridMultilevel"/>
    <w:tmpl w:val="9EEEB1FE"/>
    <w:lvl w:ilvl="0" w:tplc="EBA6E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0E0F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BD63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ACCC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DCA3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86E3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97CB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97E7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9809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>
    <w:nsid w:val="6A1E3E7C"/>
    <w:multiLevelType w:val="hybridMultilevel"/>
    <w:tmpl w:val="C92E7F70"/>
    <w:lvl w:ilvl="0" w:tplc="3162E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DAB1107"/>
    <w:multiLevelType w:val="hybridMultilevel"/>
    <w:tmpl w:val="347E1FC6"/>
    <w:lvl w:ilvl="0" w:tplc="9E825D0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72D941FF"/>
    <w:multiLevelType w:val="hybridMultilevel"/>
    <w:tmpl w:val="D430F56A"/>
    <w:lvl w:ilvl="0" w:tplc="977255CC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3">
    <w:nsid w:val="732F2E40"/>
    <w:multiLevelType w:val="hybridMultilevel"/>
    <w:tmpl w:val="37C8465C"/>
    <w:lvl w:ilvl="0" w:tplc="A7003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8E4A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3C23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7C2A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7A05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706B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56A8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A9C6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504F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4">
    <w:nsid w:val="74DF57F9"/>
    <w:multiLevelType w:val="multilevel"/>
    <w:tmpl w:val="4964FB0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5">
    <w:nsid w:val="7B9B30FE"/>
    <w:multiLevelType w:val="hybridMultilevel"/>
    <w:tmpl w:val="980A3698"/>
    <w:lvl w:ilvl="0" w:tplc="E5708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F702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F288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FB4F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C30A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EAE2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C760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68E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662D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6">
    <w:nsid w:val="7C993DA8"/>
    <w:multiLevelType w:val="hybridMultilevel"/>
    <w:tmpl w:val="1E6A3DD0"/>
    <w:lvl w:ilvl="0" w:tplc="3162E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DD10EEA"/>
    <w:multiLevelType w:val="hybridMultilevel"/>
    <w:tmpl w:val="B4EE9D58"/>
    <w:lvl w:ilvl="0" w:tplc="3162E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E74079C"/>
    <w:multiLevelType w:val="hybridMultilevel"/>
    <w:tmpl w:val="023AE178"/>
    <w:lvl w:ilvl="0" w:tplc="08700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28"/>
  </w:num>
  <w:num w:numId="5">
    <w:abstractNumId w:val="1"/>
  </w:num>
  <w:num w:numId="6">
    <w:abstractNumId w:val="21"/>
  </w:num>
  <w:num w:numId="7">
    <w:abstractNumId w:val="8"/>
  </w:num>
  <w:num w:numId="8">
    <w:abstractNumId w:val="10"/>
  </w:num>
  <w:num w:numId="9">
    <w:abstractNumId w:val="18"/>
  </w:num>
  <w:num w:numId="10">
    <w:abstractNumId w:val="11"/>
  </w:num>
  <w:num w:numId="11">
    <w:abstractNumId w:val="6"/>
  </w:num>
  <w:num w:numId="12">
    <w:abstractNumId w:val="24"/>
  </w:num>
  <w:num w:numId="13">
    <w:abstractNumId w:val="0"/>
  </w:num>
  <w:num w:numId="14">
    <w:abstractNumId w:val="14"/>
  </w:num>
  <w:num w:numId="15">
    <w:abstractNumId w:val="25"/>
  </w:num>
  <w:num w:numId="16">
    <w:abstractNumId w:val="12"/>
  </w:num>
  <w:num w:numId="17">
    <w:abstractNumId w:val="22"/>
  </w:num>
  <w:num w:numId="18">
    <w:abstractNumId w:val="3"/>
  </w:num>
  <w:num w:numId="19">
    <w:abstractNumId w:val="4"/>
  </w:num>
  <w:num w:numId="20">
    <w:abstractNumId w:val="19"/>
  </w:num>
  <w:num w:numId="21">
    <w:abstractNumId w:val="23"/>
  </w:num>
  <w:num w:numId="22">
    <w:abstractNumId w:val="7"/>
  </w:num>
  <w:num w:numId="23">
    <w:abstractNumId w:val="17"/>
  </w:num>
  <w:num w:numId="24">
    <w:abstractNumId w:val="2"/>
  </w:num>
  <w:num w:numId="25">
    <w:abstractNumId w:val="26"/>
  </w:num>
  <w:num w:numId="26">
    <w:abstractNumId w:val="20"/>
  </w:num>
  <w:num w:numId="27">
    <w:abstractNumId w:val="16"/>
  </w:num>
  <w:num w:numId="28">
    <w:abstractNumId w:val="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38914" style="mso-width-relative:margin;v-text-anchor:middle" strokecolor="none [3212]">
      <v:stroke color="none [3212]" weight="1pt"/>
      <v:shadow color="none [2732]" offset="3pt,3pt" offset2="2pt,2pt"/>
    </o:shapedefaults>
    <o:shapelayout v:ext="edit">
      <o:idmap v:ext="edit" data="1"/>
      <o:rules v:ext="edit">
        <o:r id="V:Rule3" type="connector" idref="#_x0000_s1039"/>
        <o:r id="V:Rule4" type="connector" idref="#_x0000_s1034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B0A"/>
    <w:rsid w:val="00000638"/>
    <w:rsid w:val="0000679A"/>
    <w:rsid w:val="0001648A"/>
    <w:rsid w:val="0009676C"/>
    <w:rsid w:val="000A02FA"/>
    <w:rsid w:val="000A4924"/>
    <w:rsid w:val="000B57F9"/>
    <w:rsid w:val="000B67AA"/>
    <w:rsid w:val="000C3394"/>
    <w:rsid w:val="0011372A"/>
    <w:rsid w:val="001145C3"/>
    <w:rsid w:val="00131953"/>
    <w:rsid w:val="001351D3"/>
    <w:rsid w:val="00135FFF"/>
    <w:rsid w:val="00163550"/>
    <w:rsid w:val="0019396F"/>
    <w:rsid w:val="001963D5"/>
    <w:rsid w:val="001A66B8"/>
    <w:rsid w:val="001B750B"/>
    <w:rsid w:val="00233C6B"/>
    <w:rsid w:val="0023646D"/>
    <w:rsid w:val="002701E1"/>
    <w:rsid w:val="00272A65"/>
    <w:rsid w:val="002954F0"/>
    <w:rsid w:val="002D4F4F"/>
    <w:rsid w:val="002D7542"/>
    <w:rsid w:val="002F34E4"/>
    <w:rsid w:val="002F3FB6"/>
    <w:rsid w:val="002F7CB9"/>
    <w:rsid w:val="00326DDB"/>
    <w:rsid w:val="00330B38"/>
    <w:rsid w:val="0036231A"/>
    <w:rsid w:val="003953FC"/>
    <w:rsid w:val="003B1FB7"/>
    <w:rsid w:val="00413539"/>
    <w:rsid w:val="00437D38"/>
    <w:rsid w:val="00451DB2"/>
    <w:rsid w:val="004C10B6"/>
    <w:rsid w:val="005059AF"/>
    <w:rsid w:val="0052118E"/>
    <w:rsid w:val="0054236A"/>
    <w:rsid w:val="00550ECB"/>
    <w:rsid w:val="00575631"/>
    <w:rsid w:val="005C27A1"/>
    <w:rsid w:val="005D15C6"/>
    <w:rsid w:val="005D619D"/>
    <w:rsid w:val="005E5529"/>
    <w:rsid w:val="00613C1F"/>
    <w:rsid w:val="0061756F"/>
    <w:rsid w:val="00623BB6"/>
    <w:rsid w:val="00632A55"/>
    <w:rsid w:val="0064175C"/>
    <w:rsid w:val="00657A57"/>
    <w:rsid w:val="00684B23"/>
    <w:rsid w:val="006A3DB0"/>
    <w:rsid w:val="006A40E2"/>
    <w:rsid w:val="006B0F4A"/>
    <w:rsid w:val="006B3B48"/>
    <w:rsid w:val="006C0FE1"/>
    <w:rsid w:val="006C7B23"/>
    <w:rsid w:val="006D5298"/>
    <w:rsid w:val="006E5B08"/>
    <w:rsid w:val="00710310"/>
    <w:rsid w:val="007169AB"/>
    <w:rsid w:val="00730B0A"/>
    <w:rsid w:val="007623BA"/>
    <w:rsid w:val="007931B2"/>
    <w:rsid w:val="007A59DC"/>
    <w:rsid w:val="007C209F"/>
    <w:rsid w:val="007C483C"/>
    <w:rsid w:val="007C7F2E"/>
    <w:rsid w:val="007F069A"/>
    <w:rsid w:val="0084328A"/>
    <w:rsid w:val="0085417C"/>
    <w:rsid w:val="00864EBF"/>
    <w:rsid w:val="008B2022"/>
    <w:rsid w:val="008E1A2F"/>
    <w:rsid w:val="009220E5"/>
    <w:rsid w:val="009260AC"/>
    <w:rsid w:val="009745B8"/>
    <w:rsid w:val="009A3490"/>
    <w:rsid w:val="009A5834"/>
    <w:rsid w:val="009D215C"/>
    <w:rsid w:val="009D633C"/>
    <w:rsid w:val="00A01FBB"/>
    <w:rsid w:val="00A17B26"/>
    <w:rsid w:val="00A22811"/>
    <w:rsid w:val="00A345AA"/>
    <w:rsid w:val="00A35179"/>
    <w:rsid w:val="00A835E8"/>
    <w:rsid w:val="00A926FC"/>
    <w:rsid w:val="00A97731"/>
    <w:rsid w:val="00AA517F"/>
    <w:rsid w:val="00AA533D"/>
    <w:rsid w:val="00AA7120"/>
    <w:rsid w:val="00AB0A6D"/>
    <w:rsid w:val="00AD68A3"/>
    <w:rsid w:val="00B03011"/>
    <w:rsid w:val="00B05650"/>
    <w:rsid w:val="00B16B36"/>
    <w:rsid w:val="00B657BC"/>
    <w:rsid w:val="00B8250C"/>
    <w:rsid w:val="00B8679F"/>
    <w:rsid w:val="00B93FE7"/>
    <w:rsid w:val="00BB4EAC"/>
    <w:rsid w:val="00BD2D6F"/>
    <w:rsid w:val="00BE3803"/>
    <w:rsid w:val="00BE6039"/>
    <w:rsid w:val="00BF1C60"/>
    <w:rsid w:val="00C01D68"/>
    <w:rsid w:val="00CA0D7A"/>
    <w:rsid w:val="00CE1915"/>
    <w:rsid w:val="00CE2565"/>
    <w:rsid w:val="00D0740F"/>
    <w:rsid w:val="00D07BAF"/>
    <w:rsid w:val="00D23D3C"/>
    <w:rsid w:val="00D26FD0"/>
    <w:rsid w:val="00D34A54"/>
    <w:rsid w:val="00D64361"/>
    <w:rsid w:val="00D922D1"/>
    <w:rsid w:val="00DB72FC"/>
    <w:rsid w:val="00DF0B53"/>
    <w:rsid w:val="00E04334"/>
    <w:rsid w:val="00E16D28"/>
    <w:rsid w:val="00E209BD"/>
    <w:rsid w:val="00E5770D"/>
    <w:rsid w:val="00E7106B"/>
    <w:rsid w:val="00E738A8"/>
    <w:rsid w:val="00EA6D04"/>
    <w:rsid w:val="00EB0ECF"/>
    <w:rsid w:val="00EC36D1"/>
    <w:rsid w:val="00EC467D"/>
    <w:rsid w:val="00F57FBF"/>
    <w:rsid w:val="00FB1728"/>
    <w:rsid w:val="00FC08E2"/>
    <w:rsid w:val="00FC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 style="mso-width-relative:margin;v-text-anchor:middle" strokecolor="none [3212]">
      <v:stroke color="none [3212]" weight="1pt"/>
      <v:shadow color="none [2732]" offset="3pt,3pt" offset2="2pt,2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0A"/>
  </w:style>
  <w:style w:type="paragraph" w:styleId="1">
    <w:name w:val="heading 1"/>
    <w:basedOn w:val="a"/>
    <w:next w:val="a"/>
    <w:link w:val="10"/>
    <w:qFormat/>
    <w:rsid w:val="00730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30B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3">
    <w:name w:val="heading 3"/>
    <w:aliases w:val="小節"/>
    <w:basedOn w:val="a"/>
    <w:next w:val="a"/>
    <w:link w:val="30"/>
    <w:unhideWhenUsed/>
    <w:qFormat/>
    <w:rsid w:val="00730B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4">
    <w:name w:val="heading 4"/>
    <w:basedOn w:val="a"/>
    <w:next w:val="a"/>
    <w:link w:val="40"/>
    <w:unhideWhenUsed/>
    <w:qFormat/>
    <w:rsid w:val="00730B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0B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0B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0B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0B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0B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0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0B0A"/>
    <w:rPr>
      <w:sz w:val="20"/>
      <w:szCs w:val="20"/>
    </w:rPr>
  </w:style>
  <w:style w:type="paragraph" w:styleId="a5">
    <w:name w:val="footer"/>
    <w:basedOn w:val="a"/>
    <w:link w:val="a6"/>
    <w:unhideWhenUsed/>
    <w:rsid w:val="00730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0B0A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730B0A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730B0A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30">
    <w:name w:val="標題 3 字元"/>
    <w:aliases w:val="小節 字元"/>
    <w:basedOn w:val="a0"/>
    <w:link w:val="3"/>
    <w:uiPriority w:val="9"/>
    <w:rsid w:val="00730B0A"/>
    <w:rPr>
      <w:rFonts w:asciiTheme="majorHAnsi" w:eastAsiaTheme="majorEastAsia" w:hAnsiTheme="majorHAnsi" w:cstheme="majorBidi"/>
      <w:b/>
      <w:bCs/>
      <w:color w:val="94B6D2" w:themeColor="accent1"/>
    </w:rPr>
  </w:style>
  <w:style w:type="character" w:customStyle="1" w:styleId="40">
    <w:name w:val="標題 4 字元"/>
    <w:basedOn w:val="a0"/>
    <w:link w:val="4"/>
    <w:uiPriority w:val="9"/>
    <w:rsid w:val="00730B0A"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customStyle="1" w:styleId="50">
    <w:name w:val="標題 5 字元"/>
    <w:basedOn w:val="a0"/>
    <w:link w:val="5"/>
    <w:uiPriority w:val="9"/>
    <w:rsid w:val="00730B0A"/>
    <w:rPr>
      <w:rFonts w:asciiTheme="majorHAnsi" w:eastAsiaTheme="majorEastAsia" w:hAnsiTheme="majorHAnsi" w:cstheme="majorBidi"/>
      <w:color w:val="345C7D" w:themeColor="accent1" w:themeShade="7F"/>
    </w:rPr>
  </w:style>
  <w:style w:type="character" w:customStyle="1" w:styleId="60">
    <w:name w:val="標題 6 字元"/>
    <w:basedOn w:val="a0"/>
    <w:link w:val="6"/>
    <w:uiPriority w:val="9"/>
    <w:rsid w:val="00730B0A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70">
    <w:name w:val="標題 7 字元"/>
    <w:basedOn w:val="a0"/>
    <w:link w:val="7"/>
    <w:uiPriority w:val="9"/>
    <w:rsid w:val="00730B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sid w:val="00730B0A"/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rsid w:val="00730B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730B0A"/>
    <w:pPr>
      <w:spacing w:line="240" w:lineRule="auto"/>
    </w:pPr>
    <w:rPr>
      <w:b/>
      <w:bCs/>
      <w:color w:val="94B6D2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30B0A"/>
    <w:pPr>
      <w:pBdr>
        <w:bottom w:val="single" w:sz="8" w:space="4" w:color="94B6D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a9">
    <w:name w:val="標題 字元"/>
    <w:basedOn w:val="a0"/>
    <w:link w:val="a8"/>
    <w:uiPriority w:val="10"/>
    <w:rsid w:val="00730B0A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30B0A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ab">
    <w:name w:val="副標題 字元"/>
    <w:basedOn w:val="a0"/>
    <w:link w:val="aa"/>
    <w:uiPriority w:val="11"/>
    <w:rsid w:val="00730B0A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styleId="ac">
    <w:name w:val="Strong"/>
    <w:basedOn w:val="a0"/>
    <w:qFormat/>
    <w:rsid w:val="00730B0A"/>
    <w:rPr>
      <w:b/>
      <w:bCs/>
    </w:rPr>
  </w:style>
  <w:style w:type="character" w:styleId="ad">
    <w:name w:val="Emphasis"/>
    <w:basedOn w:val="a0"/>
    <w:uiPriority w:val="20"/>
    <w:qFormat/>
    <w:rsid w:val="00730B0A"/>
    <w:rPr>
      <w:i/>
      <w:iCs/>
    </w:rPr>
  </w:style>
  <w:style w:type="paragraph" w:styleId="ae">
    <w:name w:val="No Spacing"/>
    <w:uiPriority w:val="1"/>
    <w:qFormat/>
    <w:rsid w:val="00730B0A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730B0A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730B0A"/>
    <w:rPr>
      <w:i/>
      <w:iCs/>
      <w:color w:val="000000" w:themeColor="text1"/>
    </w:rPr>
  </w:style>
  <w:style w:type="character" w:customStyle="1" w:styleId="af1">
    <w:name w:val="引文 字元"/>
    <w:basedOn w:val="a0"/>
    <w:link w:val="af0"/>
    <w:uiPriority w:val="29"/>
    <w:rsid w:val="00730B0A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730B0A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af3">
    <w:name w:val="鮮明引文 字元"/>
    <w:basedOn w:val="a0"/>
    <w:link w:val="af2"/>
    <w:uiPriority w:val="30"/>
    <w:rsid w:val="00730B0A"/>
    <w:rPr>
      <w:b/>
      <w:bCs/>
      <w:i/>
      <w:iCs/>
      <w:color w:val="94B6D2" w:themeColor="accent1"/>
    </w:rPr>
  </w:style>
  <w:style w:type="character" w:styleId="af4">
    <w:name w:val="Subtle Emphasis"/>
    <w:basedOn w:val="a0"/>
    <w:uiPriority w:val="19"/>
    <w:qFormat/>
    <w:rsid w:val="00730B0A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730B0A"/>
    <w:rPr>
      <w:b/>
      <w:bCs/>
      <w:i/>
      <w:iCs/>
      <w:color w:val="94B6D2" w:themeColor="accent1"/>
    </w:rPr>
  </w:style>
  <w:style w:type="character" w:styleId="af6">
    <w:name w:val="Subtle Reference"/>
    <w:basedOn w:val="a0"/>
    <w:uiPriority w:val="31"/>
    <w:qFormat/>
    <w:rsid w:val="00730B0A"/>
    <w:rPr>
      <w:smallCaps/>
      <w:color w:val="DD8047" w:themeColor="accent2"/>
      <w:u w:val="single"/>
    </w:rPr>
  </w:style>
  <w:style w:type="character" w:styleId="af7">
    <w:name w:val="Intense Reference"/>
    <w:basedOn w:val="a0"/>
    <w:uiPriority w:val="32"/>
    <w:qFormat/>
    <w:rsid w:val="00730B0A"/>
    <w:rPr>
      <w:b/>
      <w:bCs/>
      <w:smallCaps/>
      <w:color w:val="DD8047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730B0A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730B0A"/>
    <w:pPr>
      <w:outlineLvl w:val="9"/>
    </w:pPr>
  </w:style>
  <w:style w:type="character" w:styleId="afa">
    <w:name w:val="Placeholder Text"/>
    <w:basedOn w:val="a0"/>
    <w:uiPriority w:val="99"/>
    <w:semiHidden/>
    <w:rsid w:val="0036231A"/>
    <w:rPr>
      <w:color w:val="808080"/>
    </w:rPr>
  </w:style>
  <w:style w:type="paragraph" w:styleId="afb">
    <w:name w:val="Balloon Text"/>
    <w:basedOn w:val="a"/>
    <w:link w:val="afc"/>
    <w:uiPriority w:val="99"/>
    <w:semiHidden/>
    <w:unhideWhenUsed/>
    <w:rsid w:val="0036231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362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E209BD"/>
  </w:style>
  <w:style w:type="table" w:styleId="afd">
    <w:name w:val="Table Grid"/>
    <w:basedOn w:val="a1"/>
    <w:rsid w:val="00D34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nhideWhenUsed/>
    <w:rsid w:val="00E04334"/>
    <w:rPr>
      <w:color w:val="0000FF"/>
      <w:u w:val="single"/>
    </w:rPr>
  </w:style>
  <w:style w:type="paragraph" w:customStyle="1" w:styleId="aff">
    <w:name w:val="樣式"/>
    <w:rsid w:val="00B93FE7"/>
    <w:pPr>
      <w:widowControl w:val="0"/>
      <w:autoSpaceDE w:val="0"/>
      <w:autoSpaceDN w:val="0"/>
      <w:adjustRightInd w:val="0"/>
      <w:spacing w:after="0" w:line="240" w:lineRule="auto"/>
    </w:pPr>
    <w:rPr>
      <w:rFonts w:ascii="PMingLiU" w:hAnsi="PMingLiU" w:cs="PMingLiU"/>
      <w:sz w:val="24"/>
      <w:szCs w:val="24"/>
      <w:lang w:eastAsia="zh-TW" w:bidi="ar-SA"/>
    </w:rPr>
  </w:style>
  <w:style w:type="paragraph" w:styleId="Web">
    <w:name w:val="Normal (Web)"/>
    <w:basedOn w:val="a"/>
    <w:rsid w:val="00864EBF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 w:bidi="ar-SA"/>
    </w:rPr>
  </w:style>
  <w:style w:type="paragraph" w:styleId="aff0">
    <w:name w:val="Body Text Indent"/>
    <w:basedOn w:val="a"/>
    <w:link w:val="aff1"/>
    <w:rsid w:val="005C27A1"/>
    <w:pPr>
      <w:widowControl w:val="0"/>
      <w:spacing w:after="0" w:line="400" w:lineRule="exact"/>
      <w:ind w:firstLineChars="2130" w:firstLine="5964"/>
    </w:pPr>
    <w:rPr>
      <w:rFonts w:ascii="標楷體" w:eastAsia="標楷體" w:hAnsi="Times New Roman" w:cs="Times New Roman"/>
      <w:kern w:val="2"/>
      <w:sz w:val="28"/>
      <w:szCs w:val="24"/>
      <w:lang w:eastAsia="zh-TW" w:bidi="ar-SA"/>
    </w:rPr>
  </w:style>
  <w:style w:type="character" w:customStyle="1" w:styleId="aff1">
    <w:name w:val="本文縮排 字元"/>
    <w:basedOn w:val="a0"/>
    <w:link w:val="aff0"/>
    <w:rsid w:val="005C27A1"/>
    <w:rPr>
      <w:rFonts w:ascii="標楷體" w:eastAsia="標楷體" w:hAnsi="Times New Roman" w:cs="Times New Roman"/>
      <w:kern w:val="2"/>
      <w:sz w:val="28"/>
      <w:szCs w:val="24"/>
      <w:lang w:eastAsia="zh-TW" w:bidi="ar-SA"/>
    </w:rPr>
  </w:style>
  <w:style w:type="paragraph" w:styleId="21">
    <w:name w:val="Body Text Indent 2"/>
    <w:basedOn w:val="a"/>
    <w:link w:val="22"/>
    <w:rsid w:val="005C27A1"/>
    <w:pPr>
      <w:widowControl w:val="0"/>
      <w:spacing w:after="0" w:line="400" w:lineRule="exact"/>
      <w:ind w:firstLineChars="1530" w:firstLine="4284"/>
    </w:pPr>
    <w:rPr>
      <w:rFonts w:ascii="標楷體" w:eastAsia="標楷體" w:hAnsi="Times New Roman" w:cs="Times New Roman"/>
      <w:kern w:val="2"/>
      <w:sz w:val="28"/>
      <w:szCs w:val="24"/>
      <w:lang w:eastAsia="zh-TW" w:bidi="ar-SA"/>
    </w:rPr>
  </w:style>
  <w:style w:type="character" w:customStyle="1" w:styleId="22">
    <w:name w:val="本文縮排 2 字元"/>
    <w:basedOn w:val="a0"/>
    <w:link w:val="21"/>
    <w:rsid w:val="005C27A1"/>
    <w:rPr>
      <w:rFonts w:ascii="標楷體" w:eastAsia="標楷體" w:hAnsi="Times New Roman" w:cs="Times New Roman"/>
      <w:kern w:val="2"/>
      <w:sz w:val="28"/>
      <w:szCs w:val="24"/>
      <w:lang w:eastAsia="zh-TW" w:bidi="ar-SA"/>
    </w:rPr>
  </w:style>
  <w:style w:type="paragraph" w:styleId="31">
    <w:name w:val="Body Text Indent 3"/>
    <w:basedOn w:val="a"/>
    <w:link w:val="32"/>
    <w:rsid w:val="005C27A1"/>
    <w:pPr>
      <w:widowControl w:val="0"/>
      <w:spacing w:after="0" w:line="400" w:lineRule="exact"/>
      <w:ind w:firstLineChars="2100" w:firstLine="5880"/>
    </w:pPr>
    <w:rPr>
      <w:rFonts w:ascii="Times New Roman" w:eastAsia="標楷體" w:hAnsi="Times New Roman" w:cs="Times New Roman"/>
      <w:kern w:val="2"/>
      <w:sz w:val="28"/>
      <w:szCs w:val="24"/>
      <w:lang w:eastAsia="zh-TW" w:bidi="ar-SA"/>
    </w:rPr>
  </w:style>
  <w:style w:type="character" w:customStyle="1" w:styleId="32">
    <w:name w:val="本文縮排 3 字元"/>
    <w:basedOn w:val="a0"/>
    <w:link w:val="31"/>
    <w:rsid w:val="005C27A1"/>
    <w:rPr>
      <w:rFonts w:ascii="Times New Roman" w:eastAsia="標楷體" w:hAnsi="Times New Roman" w:cs="Times New Roman"/>
      <w:kern w:val="2"/>
      <w:sz w:val="28"/>
      <w:szCs w:val="24"/>
      <w:lang w:eastAsia="zh-TW" w:bidi="ar-SA"/>
    </w:rPr>
  </w:style>
  <w:style w:type="character" w:styleId="aff2">
    <w:name w:val="page number"/>
    <w:basedOn w:val="a0"/>
    <w:rsid w:val="005C27A1"/>
  </w:style>
  <w:style w:type="paragraph" w:customStyle="1" w:styleId="23">
    <w:name w:val="內文2"/>
    <w:basedOn w:val="a"/>
    <w:rsid w:val="005C27A1"/>
    <w:pPr>
      <w:widowControl w:val="0"/>
      <w:adjustRightInd w:val="0"/>
      <w:spacing w:before="120" w:after="120" w:line="360" w:lineRule="atLeast"/>
      <w:textAlignment w:val="baseline"/>
    </w:pPr>
    <w:rPr>
      <w:rFonts w:ascii="Arial" w:eastAsia="細明體" w:hAnsi="Arial" w:cs="Times New Roman"/>
      <w:sz w:val="24"/>
      <w:szCs w:val="20"/>
      <w:lang w:eastAsia="zh-TW" w:bidi="ar-SA"/>
    </w:rPr>
  </w:style>
  <w:style w:type="character" w:customStyle="1" w:styleId="j051">
    <w:name w:val="j051"/>
    <w:basedOn w:val="a0"/>
    <w:rsid w:val="005C27A1"/>
    <w:rPr>
      <w:rFonts w:ascii="Arial" w:hAnsi="Arial" w:cs="Arial" w:hint="default"/>
      <w:strike w:val="0"/>
      <w:dstrike w:val="0"/>
      <w:color w:val="333333"/>
      <w:sz w:val="14"/>
      <w:szCs w:val="14"/>
      <w:u w:val="none"/>
      <w:effect w:val="none"/>
    </w:rPr>
  </w:style>
  <w:style w:type="character" w:customStyle="1" w:styleId="style11">
    <w:name w:val="style11"/>
    <w:basedOn w:val="a0"/>
    <w:rsid w:val="005C27A1"/>
    <w:rPr>
      <w:color w:val="4D4D4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中庸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台中市大肚區遊園路二段43號1樓                  1F. No.43, Sec. 2, Youyuan Rd., Dadu Dist., Taichung City 432, Taiwan                      Tel : +886-4-26910213  Fax : +886-4-26917117  </CompanyAddress>
  <CompanyPhone>Tel : +886-4-26910213</CompanyPhone>
  <CompanyFax>  Fax : +886-4-26917117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46</Words>
  <Characters>266</Characters>
  <Application>Microsoft Office Word</Application>
  <DocSecurity>0</DocSecurity>
  <Lines>2</Lines>
  <Paragraphs>1</Paragraphs>
  <ScaleCrop>false</ScaleCrop>
  <Company>坤展國際安全驗證有限公司  K. J. Certification Co. Ltd.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user</cp:lastModifiedBy>
  <cp:revision>43</cp:revision>
  <cp:lastPrinted>2013-07-12T15:34:00Z</cp:lastPrinted>
  <dcterms:created xsi:type="dcterms:W3CDTF">2013-07-11T01:48:00Z</dcterms:created>
  <dcterms:modified xsi:type="dcterms:W3CDTF">2014-09-24T07:38:00Z</dcterms:modified>
</cp:coreProperties>
</file>